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51" w:rsidRDefault="001B4351" w:rsidP="003F2D94">
      <w:pPr>
        <w:spacing w:after="0" w:line="240" w:lineRule="auto"/>
        <w:rPr>
          <w:b/>
          <w:color w:val="1A3D68"/>
          <w:sz w:val="24"/>
        </w:rPr>
      </w:pPr>
      <w:bookmarkStart w:id="0" w:name="_GoBack"/>
      <w:bookmarkEnd w:id="0"/>
      <w:r>
        <w:rPr>
          <w:b/>
          <w:color w:val="1A3D68"/>
          <w:sz w:val="24"/>
        </w:rPr>
        <w:t>04/01/2019 Disability Access Committee Notes</w:t>
      </w:r>
    </w:p>
    <w:p w:rsidR="003F2D94" w:rsidRDefault="003F2D94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 xml:space="preserve">Region: </w:t>
      </w:r>
      <w:r w:rsidR="009A276D">
        <w:rPr>
          <w:b/>
          <w:color w:val="1A3D68"/>
          <w:sz w:val="24"/>
        </w:rPr>
        <w:t>15</w:t>
      </w:r>
      <w:r w:rsidR="001B4351">
        <w:rPr>
          <w:b/>
          <w:color w:val="1A3D68"/>
          <w:sz w:val="24"/>
        </w:rPr>
        <w:t xml:space="preserve">   </w:t>
      </w:r>
    </w:p>
    <w:p w:rsidR="003F2D94" w:rsidRDefault="003F2D94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 xml:space="preserve"> </w:t>
      </w:r>
    </w:p>
    <w:p w:rsidR="003F2D94" w:rsidRDefault="003F2D94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>Participating Partners:</w:t>
      </w:r>
      <w:r w:rsidR="009A276D">
        <w:rPr>
          <w:b/>
          <w:color w:val="1A3D68"/>
          <w:sz w:val="24"/>
        </w:rPr>
        <w:t xml:space="preserve"> Clark Young (</w:t>
      </w:r>
      <w:r w:rsidR="005D16D6">
        <w:rPr>
          <w:b/>
          <w:color w:val="1A3D68"/>
          <w:sz w:val="24"/>
        </w:rPr>
        <w:t xml:space="preserve">IWD/Goodwill), Monica </w:t>
      </w:r>
      <w:proofErr w:type="spellStart"/>
      <w:r w:rsidR="005D16D6">
        <w:rPr>
          <w:b/>
          <w:color w:val="1A3D68"/>
          <w:sz w:val="24"/>
        </w:rPr>
        <w:t>VanGalder</w:t>
      </w:r>
      <w:proofErr w:type="spellEnd"/>
      <w:r w:rsidR="009A276D">
        <w:rPr>
          <w:b/>
          <w:color w:val="1A3D68"/>
          <w:sz w:val="24"/>
        </w:rPr>
        <w:t xml:space="preserve"> (Job Corps Disability Navigator), Ashleigh </w:t>
      </w:r>
      <w:r w:rsidR="005D16D6">
        <w:rPr>
          <w:b/>
          <w:color w:val="1A3D68"/>
          <w:sz w:val="24"/>
        </w:rPr>
        <w:t>Richmo</w:t>
      </w:r>
      <w:r w:rsidR="009A276D">
        <w:rPr>
          <w:b/>
          <w:color w:val="1A3D68"/>
          <w:sz w:val="24"/>
        </w:rPr>
        <w:t>nd (Adult Ed) Kelli Hugo (IVRS)</w:t>
      </w:r>
      <w:r>
        <w:rPr>
          <w:b/>
          <w:color w:val="1A3D68"/>
          <w:sz w:val="24"/>
        </w:rPr>
        <w:t xml:space="preserve"> </w:t>
      </w:r>
    </w:p>
    <w:p w:rsidR="003F2D94" w:rsidRDefault="003F2D94" w:rsidP="003F2D94">
      <w:pPr>
        <w:spacing w:after="0" w:line="240" w:lineRule="auto"/>
        <w:rPr>
          <w:b/>
          <w:color w:val="1A3D68"/>
          <w:sz w:val="24"/>
        </w:rPr>
      </w:pPr>
    </w:p>
    <w:p w:rsidR="003934D7" w:rsidRDefault="003934D7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>Major Process (i.e. Outreach &amp; Intake):</w:t>
      </w:r>
      <w:r w:rsidR="009A276D">
        <w:rPr>
          <w:b/>
          <w:color w:val="1A3D68"/>
          <w:sz w:val="24"/>
        </w:rPr>
        <w:t xml:space="preserve"> </w:t>
      </w:r>
      <w:r w:rsidR="001B4351">
        <w:rPr>
          <w:b/>
          <w:color w:val="1A3D68"/>
          <w:sz w:val="24"/>
        </w:rPr>
        <w:t xml:space="preserve">Career Services - </w:t>
      </w:r>
      <w:r w:rsidR="009A276D">
        <w:rPr>
          <w:b/>
          <w:color w:val="1A3D68"/>
          <w:sz w:val="24"/>
        </w:rPr>
        <w:t>Referral &amp; Accessibility</w:t>
      </w:r>
    </w:p>
    <w:p w:rsidR="003934D7" w:rsidRDefault="003934D7" w:rsidP="003F2D94">
      <w:pPr>
        <w:spacing w:after="0" w:line="240" w:lineRule="auto"/>
        <w:rPr>
          <w:b/>
          <w:color w:val="1A3D68"/>
          <w:sz w:val="24"/>
        </w:rPr>
      </w:pPr>
    </w:p>
    <w:p w:rsidR="003934D7" w:rsidRDefault="003934D7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>Where are we now on the Integration Continuum?</w:t>
      </w:r>
      <w:r w:rsidR="009A276D">
        <w:rPr>
          <w:b/>
          <w:color w:val="1A3D68"/>
          <w:sz w:val="24"/>
        </w:rPr>
        <w:t xml:space="preserve"> </w:t>
      </w:r>
      <w:r w:rsidR="001B4351">
        <w:rPr>
          <w:b/>
          <w:color w:val="1A3D68"/>
          <w:sz w:val="24"/>
        </w:rPr>
        <w:t>Coordination</w:t>
      </w:r>
    </w:p>
    <w:p w:rsidR="003934D7" w:rsidRDefault="003934D7" w:rsidP="003F2D94">
      <w:pPr>
        <w:spacing w:after="0" w:line="240" w:lineRule="auto"/>
        <w:rPr>
          <w:b/>
          <w:color w:val="1A3D68"/>
          <w:sz w:val="24"/>
        </w:rPr>
      </w:pPr>
    </w:p>
    <w:p w:rsidR="003934D7" w:rsidRDefault="003934D7" w:rsidP="001B4351">
      <w:pPr>
        <w:tabs>
          <w:tab w:val="center" w:pos="7200"/>
        </w:tabs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 xml:space="preserve">Where do we want to be on the Integration Continuum? </w:t>
      </w:r>
      <w:r w:rsidR="001B4351">
        <w:rPr>
          <w:b/>
          <w:color w:val="1A3D68"/>
          <w:sz w:val="24"/>
        </w:rPr>
        <w:t>Integration</w:t>
      </w:r>
    </w:p>
    <w:p w:rsidR="003F2D94" w:rsidRDefault="003F2D94" w:rsidP="003F2D94">
      <w:pPr>
        <w:spacing w:after="0" w:line="240" w:lineRule="auto"/>
        <w:rPr>
          <w:b/>
          <w:color w:val="1A3D68"/>
          <w:sz w:val="24"/>
        </w:rPr>
      </w:pPr>
    </w:p>
    <w:p w:rsidR="003F2D94" w:rsidRDefault="009A276D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 xml:space="preserve">Discussion: Clark identified that a lot of our communication is informal due to proximity and closeness of working relationships. </w:t>
      </w:r>
    </w:p>
    <w:p w:rsidR="009A276D" w:rsidRDefault="009A276D" w:rsidP="003F2D94">
      <w:pPr>
        <w:spacing w:after="0" w:line="240" w:lineRule="auto"/>
        <w:rPr>
          <w:b/>
          <w:color w:val="1A3D68"/>
          <w:sz w:val="24"/>
        </w:rPr>
      </w:pPr>
      <w:r>
        <w:rPr>
          <w:b/>
          <w:color w:val="1A3D68"/>
          <w:sz w:val="24"/>
        </w:rPr>
        <w:t xml:space="preserve">Monica identified personal concerns regarding group orientation for Job Corps students due to social pressures </w:t>
      </w:r>
      <w:proofErr w:type="gramStart"/>
      <w:r>
        <w:rPr>
          <w:b/>
          <w:color w:val="1A3D68"/>
          <w:sz w:val="24"/>
        </w:rPr>
        <w:t>in group</w:t>
      </w:r>
      <w:proofErr w:type="gramEnd"/>
      <w:r>
        <w:rPr>
          <w:b/>
          <w:color w:val="1A3D68"/>
          <w:sz w:val="24"/>
        </w:rPr>
        <w:t xml:space="preserve"> settings. She identified that at the last orientation, only 4 Job Corps students enrolled and </w:t>
      </w:r>
      <w:proofErr w:type="gramStart"/>
      <w:r>
        <w:rPr>
          <w:b/>
          <w:color w:val="1A3D68"/>
          <w:sz w:val="24"/>
        </w:rPr>
        <w:t>6</w:t>
      </w:r>
      <w:proofErr w:type="gramEnd"/>
      <w:r>
        <w:rPr>
          <w:b/>
          <w:color w:val="1A3D68"/>
          <w:sz w:val="24"/>
        </w:rPr>
        <w:t xml:space="preserve"> chose </w:t>
      </w:r>
      <w:r w:rsidR="00014978">
        <w:rPr>
          <w:b/>
          <w:color w:val="1A3D68"/>
          <w:sz w:val="24"/>
        </w:rPr>
        <w:t>not to. Monica said</w:t>
      </w:r>
      <w:r>
        <w:rPr>
          <w:b/>
          <w:color w:val="1A3D68"/>
          <w:sz w:val="24"/>
        </w:rPr>
        <w:t xml:space="preserve"> some would require more one on one su</w:t>
      </w:r>
      <w:r w:rsidR="00014978">
        <w:rPr>
          <w:b/>
          <w:color w:val="1A3D68"/>
          <w:sz w:val="24"/>
        </w:rPr>
        <w:t>pport. We discussed this option for IVRS referral. Kelli</w:t>
      </w:r>
      <w:r>
        <w:rPr>
          <w:b/>
          <w:color w:val="1A3D68"/>
          <w:sz w:val="24"/>
        </w:rPr>
        <w:t xml:space="preserve"> provided clarification on eligibility and partner service delivery. </w:t>
      </w:r>
      <w:r w:rsidR="00014978">
        <w:rPr>
          <w:b/>
          <w:color w:val="1A3D68"/>
          <w:sz w:val="24"/>
        </w:rPr>
        <w:t xml:space="preserve">Kelli identified concern in the low number of Job Corps students and young adults coming to one stop building for service enrollment and support. </w:t>
      </w:r>
      <w:r>
        <w:rPr>
          <w:b/>
          <w:color w:val="1A3D68"/>
          <w:sz w:val="24"/>
        </w:rPr>
        <w:t>Kelli asked about Job Corps student registration with IWD</w:t>
      </w:r>
      <w:r w:rsidR="00014978">
        <w:rPr>
          <w:b/>
          <w:color w:val="1A3D68"/>
          <w:sz w:val="24"/>
        </w:rPr>
        <w:t xml:space="preserve">. This is now happening earlier in the trade. Kelli identified how </w:t>
      </w:r>
      <w:r>
        <w:rPr>
          <w:b/>
          <w:color w:val="1A3D68"/>
          <w:sz w:val="24"/>
        </w:rPr>
        <w:t>IVRS w</w:t>
      </w:r>
      <w:r w:rsidR="00014978">
        <w:rPr>
          <w:b/>
          <w:color w:val="1A3D68"/>
          <w:sz w:val="24"/>
        </w:rPr>
        <w:t>ould be able to collaborate in</w:t>
      </w:r>
      <w:r>
        <w:rPr>
          <w:b/>
          <w:color w:val="1A3D68"/>
          <w:sz w:val="24"/>
        </w:rPr>
        <w:t xml:space="preserve"> </w:t>
      </w:r>
      <w:r w:rsidR="00014978">
        <w:rPr>
          <w:b/>
          <w:color w:val="1A3D68"/>
          <w:sz w:val="24"/>
        </w:rPr>
        <w:t xml:space="preserve">classes to be more familiar and available. Clark suggested a checklist for completion of Iowa Works partner programs as a way to increase buy-in for participation in service delivery. Ashleigh identified </w:t>
      </w:r>
      <w:proofErr w:type="gramStart"/>
      <w:r w:rsidR="00014978">
        <w:rPr>
          <w:b/>
          <w:color w:val="1A3D68"/>
          <w:sz w:val="24"/>
        </w:rPr>
        <w:t>that there</w:t>
      </w:r>
      <w:proofErr w:type="gramEnd"/>
      <w:r w:rsidR="00014978">
        <w:rPr>
          <w:b/>
          <w:color w:val="1A3D68"/>
          <w:sz w:val="24"/>
        </w:rPr>
        <w:t xml:space="preserve"> might be duplication of some services with Adult Ed right across the street and how there might be enhanced partnering opportunities for trainees looking to complete adult </w:t>
      </w:r>
      <w:proofErr w:type="spellStart"/>
      <w:r w:rsidR="00014978">
        <w:rPr>
          <w:b/>
          <w:color w:val="1A3D68"/>
          <w:sz w:val="24"/>
        </w:rPr>
        <w:t>ed</w:t>
      </w:r>
      <w:proofErr w:type="spellEnd"/>
      <w:r w:rsidR="00014978">
        <w:rPr>
          <w:b/>
          <w:color w:val="1A3D68"/>
          <w:sz w:val="24"/>
        </w:rPr>
        <w:t xml:space="preserve"> programs. Kelli inquired about how to obtain program and building accessibility feedback from trainees and young adults for opportunity awareness. </w:t>
      </w:r>
      <w:r w:rsidR="005D16D6">
        <w:rPr>
          <w:b/>
          <w:color w:val="1A3D68"/>
          <w:sz w:val="24"/>
        </w:rPr>
        <w:t xml:space="preserve">Kelli mentioned the idea of a partner open house for area resources as an opportunity to learn about each other for referral and collaboration. </w:t>
      </w:r>
    </w:p>
    <w:p w:rsidR="003934D7" w:rsidRDefault="003934D7"/>
    <w:tbl>
      <w:tblPr>
        <w:tblStyle w:val="TableGrid"/>
        <w:tblpPr w:leftFromText="180" w:rightFromText="180" w:vertAnchor="page" w:horzAnchor="margin" w:tblpX="108" w:tblpY="2431"/>
        <w:tblW w:w="4901" w:type="pct"/>
        <w:tblLook w:val="04A0" w:firstRow="1" w:lastRow="0" w:firstColumn="1" w:lastColumn="0" w:noHBand="0" w:noVBand="1"/>
        <w:tblCaption w:val="Action plan"/>
        <w:tblDescription w:val="This table helps groups to organize their action plan for service integration."/>
      </w:tblPr>
      <w:tblGrid>
        <w:gridCol w:w="2925"/>
        <w:gridCol w:w="2745"/>
        <w:gridCol w:w="2395"/>
        <w:gridCol w:w="2302"/>
        <w:gridCol w:w="3738"/>
      </w:tblGrid>
      <w:tr w:rsidR="00CF7816" w:rsidRPr="00F83568" w:rsidTr="003934D7">
        <w:trPr>
          <w:tblHeader/>
        </w:trPr>
        <w:tc>
          <w:tcPr>
            <w:tcW w:w="1037" w:type="pct"/>
            <w:shd w:val="clear" w:color="auto" w:fill="EAEAEA"/>
          </w:tcPr>
          <w:p w:rsidR="00F83568" w:rsidRPr="00CF7816" w:rsidRDefault="00F83568" w:rsidP="00CF7816">
            <w:pPr>
              <w:pStyle w:val="THead"/>
            </w:pPr>
            <w:r w:rsidRPr="00CF7816">
              <w:lastRenderedPageBreak/>
              <w:t xml:space="preserve">Activities </w:t>
            </w:r>
            <w:r w:rsidR="00CF7816" w:rsidRPr="00CF7816">
              <w:t>and</w:t>
            </w:r>
            <w:r w:rsidRPr="00CF7816">
              <w:t xml:space="preserve"> Tactics</w:t>
            </w:r>
          </w:p>
          <w:p w:rsidR="00F83568" w:rsidRPr="00CF7816" w:rsidRDefault="00F83568" w:rsidP="00CF7816">
            <w:pPr>
              <w:pStyle w:val="THead"/>
              <w:rPr>
                <w:b w:val="0"/>
              </w:rPr>
            </w:pPr>
            <w:r w:rsidRPr="00CF7816">
              <w:rPr>
                <w:b w:val="0"/>
              </w:rPr>
              <w:t>How will we do it?</w:t>
            </w:r>
          </w:p>
        </w:tc>
        <w:tc>
          <w:tcPr>
            <w:tcW w:w="973" w:type="pct"/>
            <w:shd w:val="clear" w:color="auto" w:fill="EAEAEA"/>
          </w:tcPr>
          <w:p w:rsidR="00A0137D" w:rsidRPr="00CF7816" w:rsidRDefault="00A0137D" w:rsidP="00CF7816">
            <w:pPr>
              <w:pStyle w:val="THead"/>
            </w:pPr>
            <w:r w:rsidRPr="00CF7816">
              <w:t>Key Players</w:t>
            </w:r>
          </w:p>
          <w:p w:rsidR="00F83568" w:rsidRPr="00CF7816" w:rsidRDefault="00A0137D" w:rsidP="00CF7816">
            <w:pPr>
              <w:pStyle w:val="THead"/>
              <w:rPr>
                <w:b w:val="0"/>
              </w:rPr>
            </w:pPr>
            <w:r w:rsidRPr="00CF7816">
              <w:rPr>
                <w:b w:val="0"/>
              </w:rPr>
              <w:t>Who should be involved?</w:t>
            </w:r>
          </w:p>
        </w:tc>
        <w:tc>
          <w:tcPr>
            <w:tcW w:w="849" w:type="pct"/>
            <w:shd w:val="clear" w:color="auto" w:fill="EAEAEA"/>
          </w:tcPr>
          <w:p w:rsidR="00F83568" w:rsidRPr="00CF7816" w:rsidRDefault="00F83568" w:rsidP="00CF7816">
            <w:pPr>
              <w:pStyle w:val="THead"/>
            </w:pPr>
            <w:r w:rsidRPr="00CF7816">
              <w:t>Expected Outcomes</w:t>
            </w:r>
          </w:p>
          <w:p w:rsidR="00F83568" w:rsidRPr="00CF7816" w:rsidRDefault="00F83568" w:rsidP="00CF7816">
            <w:pPr>
              <w:pStyle w:val="THead"/>
              <w:rPr>
                <w:b w:val="0"/>
              </w:rPr>
            </w:pPr>
            <w:r w:rsidRPr="00CF7816">
              <w:rPr>
                <w:b w:val="0"/>
              </w:rPr>
              <w:t>What is the result?</w:t>
            </w:r>
          </w:p>
        </w:tc>
        <w:tc>
          <w:tcPr>
            <w:tcW w:w="816" w:type="pct"/>
            <w:shd w:val="clear" w:color="auto" w:fill="EAEAEA"/>
          </w:tcPr>
          <w:p w:rsidR="00F83568" w:rsidRPr="00CF7816" w:rsidRDefault="00F83568" w:rsidP="00CF7816">
            <w:pPr>
              <w:pStyle w:val="THead"/>
            </w:pPr>
            <w:r w:rsidRPr="00CF7816">
              <w:t>Timeline</w:t>
            </w:r>
          </w:p>
          <w:p w:rsidR="00F83568" w:rsidRPr="00CF7816" w:rsidRDefault="00F83568" w:rsidP="00CF7816">
            <w:pPr>
              <w:pStyle w:val="THead"/>
              <w:rPr>
                <w:b w:val="0"/>
              </w:rPr>
            </w:pPr>
            <w:r w:rsidRPr="00CF7816">
              <w:rPr>
                <w:b w:val="0"/>
              </w:rPr>
              <w:t>When will we do it?</w:t>
            </w:r>
          </w:p>
        </w:tc>
        <w:tc>
          <w:tcPr>
            <w:tcW w:w="1325" w:type="pct"/>
            <w:shd w:val="clear" w:color="auto" w:fill="EAEAEA"/>
          </w:tcPr>
          <w:p w:rsidR="00F83568" w:rsidRPr="00CF7816" w:rsidRDefault="00A0137D" w:rsidP="00CF7816">
            <w:pPr>
              <w:pStyle w:val="THead"/>
            </w:pPr>
            <w:r w:rsidRPr="00CF7816">
              <w:t xml:space="preserve">Questions </w:t>
            </w:r>
            <w:r w:rsidR="00CF7816">
              <w:t>and</w:t>
            </w:r>
            <w:r w:rsidRPr="00CF7816">
              <w:t xml:space="preserve"> Assistance Needed</w:t>
            </w:r>
          </w:p>
          <w:p w:rsidR="00F83568" w:rsidRPr="00CF7816" w:rsidRDefault="00A0137D" w:rsidP="00CF7816">
            <w:pPr>
              <w:pStyle w:val="THead"/>
              <w:rPr>
                <w:b w:val="0"/>
              </w:rPr>
            </w:pPr>
            <w:r w:rsidRPr="00CF7816">
              <w:rPr>
                <w:b w:val="0"/>
              </w:rPr>
              <w:t>Where do we need assistance?</w:t>
            </w:r>
          </w:p>
        </w:tc>
      </w:tr>
      <w:tr w:rsidR="00A0137D" w:rsidRPr="00F83568" w:rsidTr="003934D7">
        <w:trPr>
          <w:trHeight w:val="1277"/>
        </w:trPr>
        <w:tc>
          <w:tcPr>
            <w:tcW w:w="1037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Survey of individuals that come into IHCC North Campus – age range?</w:t>
            </w:r>
          </w:p>
        </w:tc>
        <w:tc>
          <w:tcPr>
            <w:tcW w:w="973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Kelli will check with Mike</w:t>
            </w:r>
          </w:p>
        </w:tc>
        <w:tc>
          <w:tcPr>
            <w:tcW w:w="849" w:type="pct"/>
          </w:tcPr>
          <w:p w:rsidR="00F83568" w:rsidRPr="00F83568" w:rsidRDefault="005F3842" w:rsidP="00CF7816">
            <w:pPr>
              <w:rPr>
                <w:color w:val="1A3D68"/>
              </w:rPr>
            </w:pPr>
            <w:r>
              <w:rPr>
                <w:color w:val="1A3D68"/>
              </w:rPr>
              <w:t>Representation of foot traffic at IHCC North Campus and most sought services</w:t>
            </w:r>
          </w:p>
        </w:tc>
        <w:tc>
          <w:tcPr>
            <w:tcW w:w="816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1325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</w:tr>
      <w:tr w:rsidR="00A0137D" w:rsidRPr="00F83568" w:rsidTr="003934D7">
        <w:trPr>
          <w:trHeight w:val="1350"/>
        </w:trPr>
        <w:tc>
          <w:tcPr>
            <w:tcW w:w="1037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 xml:space="preserve">Resource provider Open House at IHCC North Campus </w:t>
            </w:r>
          </w:p>
        </w:tc>
        <w:tc>
          <w:tcPr>
            <w:tcW w:w="973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 xml:space="preserve">Transition Resource Manual area providers for </w:t>
            </w:r>
          </w:p>
        </w:tc>
        <w:tc>
          <w:tcPr>
            <w:tcW w:w="849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Enhanced discussion on referral and collaboration opportunities</w:t>
            </w:r>
          </w:p>
        </w:tc>
        <w:tc>
          <w:tcPr>
            <w:tcW w:w="816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By November 2019</w:t>
            </w:r>
          </w:p>
        </w:tc>
        <w:tc>
          <w:tcPr>
            <w:tcW w:w="1325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 xml:space="preserve">Identify if there is going to be </w:t>
            </w:r>
            <w:proofErr w:type="spellStart"/>
            <w:proofErr w:type="gramStart"/>
            <w:r>
              <w:rPr>
                <w:color w:val="1A3D68"/>
              </w:rPr>
              <w:t>a</w:t>
            </w:r>
            <w:proofErr w:type="spellEnd"/>
            <w:proofErr w:type="gramEnd"/>
            <w:r>
              <w:rPr>
                <w:color w:val="1A3D68"/>
              </w:rPr>
              <w:t xml:space="preserve"> open house at North Campus, mention at partner meetings and upcoming IWD meeting. </w:t>
            </w:r>
          </w:p>
        </w:tc>
      </w:tr>
      <w:tr w:rsidR="00F83568" w:rsidRPr="00F83568" w:rsidTr="003934D7">
        <w:trPr>
          <w:trHeight w:val="1332"/>
        </w:trPr>
        <w:tc>
          <w:tcPr>
            <w:tcW w:w="1037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Survey Job Corps students for feedback on accessibility of programming at North Campus</w:t>
            </w:r>
          </w:p>
        </w:tc>
        <w:tc>
          <w:tcPr>
            <w:tcW w:w="973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Job Corps trainees, IWD facilitator, IVRS staff</w:t>
            </w:r>
          </w:p>
        </w:tc>
        <w:tc>
          <w:tcPr>
            <w:tcW w:w="849" w:type="pct"/>
          </w:tcPr>
          <w:p w:rsidR="00F83568" w:rsidRPr="00F83568" w:rsidRDefault="001B4351" w:rsidP="00CF7816">
            <w:pPr>
              <w:rPr>
                <w:color w:val="1A3D68"/>
              </w:rPr>
            </w:pPr>
            <w:r>
              <w:rPr>
                <w:color w:val="1A3D68"/>
              </w:rPr>
              <w:t>Obtain feedback on physical or perceived barriers to IHCC North Campus programming to identify opportunities for service delivery</w:t>
            </w:r>
          </w:p>
        </w:tc>
        <w:tc>
          <w:tcPr>
            <w:tcW w:w="816" w:type="pct"/>
          </w:tcPr>
          <w:p w:rsidR="00F83568" w:rsidRPr="00F83568" w:rsidRDefault="005F3842" w:rsidP="00CF7816">
            <w:pPr>
              <w:rPr>
                <w:color w:val="1A3D68"/>
              </w:rPr>
            </w:pPr>
            <w:r>
              <w:rPr>
                <w:color w:val="1A3D68"/>
              </w:rPr>
              <w:t>By November 2019</w:t>
            </w:r>
          </w:p>
        </w:tc>
        <w:tc>
          <w:tcPr>
            <w:tcW w:w="1325" w:type="pct"/>
          </w:tcPr>
          <w:p w:rsidR="00F83568" w:rsidRPr="00F83568" w:rsidRDefault="005F3842" w:rsidP="00CF7816">
            <w:pPr>
              <w:rPr>
                <w:color w:val="1A3D68"/>
              </w:rPr>
            </w:pPr>
            <w:proofErr w:type="gramStart"/>
            <w:r>
              <w:rPr>
                <w:color w:val="1A3D68"/>
              </w:rPr>
              <w:t>Would open-ended questions about program knowledge, interest, and accessibility harness feedback?</w:t>
            </w:r>
            <w:proofErr w:type="gramEnd"/>
          </w:p>
        </w:tc>
      </w:tr>
      <w:tr w:rsidR="00F83568" w:rsidRPr="00F83568" w:rsidTr="003934D7">
        <w:trPr>
          <w:trHeight w:val="1430"/>
        </w:trPr>
        <w:tc>
          <w:tcPr>
            <w:tcW w:w="1037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973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849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816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1325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</w:tr>
      <w:tr w:rsidR="00F83568" w:rsidRPr="00F83568" w:rsidTr="003934D7">
        <w:trPr>
          <w:trHeight w:val="1341"/>
        </w:trPr>
        <w:tc>
          <w:tcPr>
            <w:tcW w:w="1037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973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849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816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  <w:tc>
          <w:tcPr>
            <w:tcW w:w="1325" w:type="pct"/>
          </w:tcPr>
          <w:p w:rsidR="00F83568" w:rsidRPr="00F83568" w:rsidRDefault="00F83568" w:rsidP="00CF7816">
            <w:pPr>
              <w:rPr>
                <w:color w:val="1A3D68"/>
              </w:rPr>
            </w:pPr>
          </w:p>
        </w:tc>
      </w:tr>
    </w:tbl>
    <w:p w:rsidR="00CF7816" w:rsidRDefault="00CF7816" w:rsidP="00CF7816">
      <w:pPr>
        <w:rPr>
          <w:b/>
          <w:color w:val="1A3D68"/>
          <w:sz w:val="24"/>
        </w:rPr>
      </w:pPr>
    </w:p>
    <w:p w:rsidR="003934D7" w:rsidRDefault="003934D7" w:rsidP="00CF7816">
      <w:pPr>
        <w:rPr>
          <w:b/>
          <w:color w:val="1A3D68"/>
          <w:sz w:val="24"/>
        </w:rPr>
      </w:pPr>
    </w:p>
    <w:p w:rsidR="003934D7" w:rsidRDefault="003934D7" w:rsidP="00CF7816">
      <w:pPr>
        <w:rPr>
          <w:b/>
          <w:color w:val="1A3D68"/>
          <w:sz w:val="24"/>
        </w:rPr>
      </w:pPr>
    </w:p>
    <w:p w:rsidR="00023D98" w:rsidRDefault="00982016"/>
    <w:sectPr w:rsidR="00023D98" w:rsidSect="00F8356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16" w:rsidRDefault="00982016" w:rsidP="00F83568">
      <w:pPr>
        <w:spacing w:after="0" w:line="240" w:lineRule="auto"/>
      </w:pPr>
      <w:r>
        <w:separator/>
      </w:r>
    </w:p>
  </w:endnote>
  <w:endnote w:type="continuationSeparator" w:id="0">
    <w:p w:rsidR="00982016" w:rsidRDefault="00982016" w:rsidP="00F8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16" w:rsidRDefault="00982016" w:rsidP="00F83568">
      <w:pPr>
        <w:spacing w:after="0" w:line="240" w:lineRule="auto"/>
      </w:pPr>
      <w:r>
        <w:separator/>
      </w:r>
    </w:p>
  </w:footnote>
  <w:footnote w:type="continuationSeparator" w:id="0">
    <w:p w:rsidR="00982016" w:rsidRDefault="00982016" w:rsidP="00F8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68" w:rsidRDefault="00F83568" w:rsidP="00F83568">
    <w:pPr>
      <w:pStyle w:val="Header"/>
      <w:jc w:val="right"/>
      <w:rPr>
        <w:b/>
        <w:color w:val="1A3D68"/>
        <w:sz w:val="24"/>
        <w:szCs w:val="24"/>
      </w:rPr>
    </w:pPr>
    <w:r w:rsidRPr="00F83568">
      <w:rPr>
        <w:b/>
        <w:color w:val="1A3D68"/>
        <w:sz w:val="24"/>
        <w:szCs w:val="24"/>
      </w:rPr>
      <w:t>Next Steps Action Plan</w:t>
    </w:r>
    <w:r w:rsidR="00FA5800">
      <w:rPr>
        <w:b/>
        <w:color w:val="1A3D68"/>
        <w:sz w:val="24"/>
        <w:szCs w:val="24"/>
      </w:rPr>
      <w:t>ning Tool</w:t>
    </w:r>
  </w:p>
  <w:p w:rsidR="00F83568" w:rsidRPr="00F83568" w:rsidRDefault="00F83568" w:rsidP="00F83568">
    <w:pPr>
      <w:pStyle w:val="Header"/>
      <w:jc w:val="right"/>
      <w:rPr>
        <w:b/>
        <w:color w:val="1A3D68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68"/>
    <w:rsid w:val="00014978"/>
    <w:rsid w:val="001B4351"/>
    <w:rsid w:val="00247D76"/>
    <w:rsid w:val="00250FB8"/>
    <w:rsid w:val="003934D7"/>
    <w:rsid w:val="003F2D94"/>
    <w:rsid w:val="005D16D6"/>
    <w:rsid w:val="005D4450"/>
    <w:rsid w:val="005F3842"/>
    <w:rsid w:val="007915E1"/>
    <w:rsid w:val="00982016"/>
    <w:rsid w:val="009A276D"/>
    <w:rsid w:val="009C6A59"/>
    <w:rsid w:val="00A0137D"/>
    <w:rsid w:val="00A76994"/>
    <w:rsid w:val="00B3687E"/>
    <w:rsid w:val="00B53EEE"/>
    <w:rsid w:val="00BA1E0A"/>
    <w:rsid w:val="00CF7816"/>
    <w:rsid w:val="00D861E3"/>
    <w:rsid w:val="00F12A97"/>
    <w:rsid w:val="00F83568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242D"/>
  <w15:docId w15:val="{5C18ED7E-1F98-4279-BA3C-5273BE6A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68"/>
  </w:style>
  <w:style w:type="paragraph" w:styleId="Footer">
    <w:name w:val="footer"/>
    <w:basedOn w:val="Normal"/>
    <w:link w:val="FooterChar"/>
    <w:uiPriority w:val="99"/>
    <w:unhideWhenUsed/>
    <w:rsid w:val="00F83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68"/>
  </w:style>
  <w:style w:type="paragraph" w:customStyle="1" w:styleId="THead">
    <w:name w:val="THead"/>
    <w:basedOn w:val="Normal"/>
    <w:link w:val="THeadChar"/>
    <w:qFormat/>
    <w:rsid w:val="00CF7816"/>
    <w:pPr>
      <w:spacing w:after="0" w:line="240" w:lineRule="auto"/>
      <w:jc w:val="center"/>
    </w:pPr>
    <w:rPr>
      <w:b/>
      <w:color w:val="1A3D68"/>
      <w:sz w:val="24"/>
    </w:rPr>
  </w:style>
  <w:style w:type="character" w:customStyle="1" w:styleId="THeadChar">
    <w:name w:val="THead Char"/>
    <w:basedOn w:val="DefaultParagraphFont"/>
    <w:link w:val="THead"/>
    <w:rsid w:val="00CF7816"/>
    <w:rPr>
      <w:b/>
      <w:color w:val="1A3D6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Hugo, Kelli [DVRS]</cp:lastModifiedBy>
  <cp:revision>2</cp:revision>
  <cp:lastPrinted>2019-04-01T18:53:00Z</cp:lastPrinted>
  <dcterms:created xsi:type="dcterms:W3CDTF">2019-04-02T03:31:00Z</dcterms:created>
  <dcterms:modified xsi:type="dcterms:W3CDTF">2019-04-02T03:31:00Z</dcterms:modified>
</cp:coreProperties>
</file>